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C6" w:rsidRDefault="00C075C6" w:rsidP="0067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5C6" w:rsidRDefault="00C075C6" w:rsidP="0067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5C6" w:rsidRDefault="00C075C6" w:rsidP="0067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7921624"/>
            <wp:effectExtent l="0" t="0" r="0" b="0"/>
            <wp:docPr id="1" name="Рисунок 1" descr="C:\Users\Галя\Downloads\169652296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16965229657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5C6" w:rsidRDefault="00C075C6" w:rsidP="0067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5C6" w:rsidRDefault="00C075C6" w:rsidP="0067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20A2" w:rsidRPr="006720A2" w:rsidRDefault="006720A2" w:rsidP="0067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</w:p>
    <w:p w:rsidR="006720A2" w:rsidRPr="006720A2" w:rsidRDefault="006720A2" w:rsidP="0067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20A2" w:rsidRPr="006720A2" w:rsidRDefault="006720A2" w:rsidP="0067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45FAF" w:rsidRDefault="006720A2" w:rsidP="00345FA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67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 </w:t>
      </w:r>
      <w:r w:rsidR="00345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="00345FAF"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 w:rsidR="00345FAF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по </w:t>
      </w:r>
      <w:r w:rsidR="00345FAF">
        <w:rPr>
          <w:rFonts w:ascii="Times New Roman" w:hAnsi="Times New Roman"/>
          <w:sz w:val="24"/>
          <w:szCs w:val="24"/>
          <w:shd w:val="clear" w:color="auto" w:fill="FFFFFF" w:themeFill="background1"/>
        </w:rPr>
        <w:t>физике</w:t>
      </w:r>
      <w:r w:rsidR="00345FAF">
        <w:rPr>
          <w:rFonts w:ascii="Times New Roman" w:hAnsi="Times New Roman"/>
          <w:sz w:val="24"/>
          <w:szCs w:val="24"/>
        </w:rPr>
        <w:t xml:space="preserve"> </w:t>
      </w:r>
      <w:r w:rsidR="00345FAF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разработана для обучения в 9 классе Муниципального бюджетного общеобразовательного учреждения Напольновская  средняя школа с учетом нормативно-правовых документов:</w:t>
      </w:r>
    </w:p>
    <w:p w:rsidR="004A2AF4" w:rsidRPr="004A2AF4" w:rsidRDefault="004A2AF4" w:rsidP="004A2AF4">
      <w:pPr>
        <w:pStyle w:val="Heading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2310B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A2AF4">
        <w:rPr>
          <w:rFonts w:ascii="Times New Roman" w:hAnsi="Times New Roman" w:cs="Times New Roman"/>
          <w:b w:val="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4A2AF4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4A2AF4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4A2AF4" w:rsidRPr="004A2AF4" w:rsidRDefault="004A2AF4" w:rsidP="004A2AF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4A2AF4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A2AF4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осуществляющих образовательную деятельность».</w:t>
      </w:r>
    </w:p>
    <w:p w:rsidR="004A2AF4" w:rsidRPr="00FE0154" w:rsidRDefault="004A2AF4" w:rsidP="004A2AF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0154">
        <w:rPr>
          <w:rFonts w:ascii="Times New Roman" w:hAnsi="Times New Roman" w:cs="Times New Roman"/>
          <w:sz w:val="24"/>
          <w:szCs w:val="24"/>
        </w:rPr>
        <w:t>- Устава МБОУ Напольновская средняя школа.</w:t>
      </w:r>
    </w:p>
    <w:p w:rsidR="004A2AF4" w:rsidRPr="00FE0154" w:rsidRDefault="004A2AF4" w:rsidP="00FE0154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FE0154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Основной образовательной программы основного общего образования МБОУ Напольновская средняя школа.</w:t>
      </w:r>
      <w:r w:rsidRPr="00FE0154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</w:p>
    <w:p w:rsidR="004A2AF4" w:rsidRPr="00FE0154" w:rsidRDefault="004A2AF4" w:rsidP="004A2AF4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FE0154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Учебного плана МБОУ Нап</w:t>
      </w:r>
      <w:r w:rsidR="00CE3FF5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ольновская средняя школа на 2023/2024</w:t>
      </w:r>
      <w:r w:rsidRPr="00FE0154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учебный год</w:t>
      </w:r>
    </w:p>
    <w:p w:rsidR="004A2AF4" w:rsidRPr="00FE0154" w:rsidRDefault="004A2AF4" w:rsidP="004A2AF4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FE015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Требований к уровню подготовки  учащихся 9 класса;</w:t>
      </w:r>
    </w:p>
    <w:p w:rsidR="00345FAF" w:rsidRPr="00FE0154" w:rsidRDefault="004A2AF4" w:rsidP="004A2AF4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FE015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Познавательных интересов учащихся.</w:t>
      </w:r>
    </w:p>
    <w:p w:rsidR="00345FAF" w:rsidRDefault="00345FAF" w:rsidP="00345FAF">
      <w:pPr>
        <w:pStyle w:val="ae"/>
        <w:ind w:left="142" w:right="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345FAF" w:rsidRDefault="00345FAF" w:rsidP="00345FAF">
      <w:pPr>
        <w:pStyle w:val="ac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345FAF" w:rsidRDefault="00345FAF" w:rsidP="00345FAF">
      <w:pPr>
        <w:pStyle w:val="ac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соотнесённость с содержанием государственной итоговой аттестации;</w:t>
      </w:r>
    </w:p>
    <w:p w:rsidR="00345FAF" w:rsidRDefault="00345FAF" w:rsidP="00345FAF">
      <w:pPr>
        <w:pStyle w:val="ac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345FAF" w:rsidRDefault="00345FAF" w:rsidP="00345FAF">
      <w:pPr>
        <w:pStyle w:val="ac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6720A2" w:rsidRPr="006720A2" w:rsidRDefault="006720A2" w:rsidP="00345F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87" w:rsidRPr="001A2E87" w:rsidRDefault="001A2E87" w:rsidP="001A2E87">
      <w:pPr>
        <w:spacing w:after="0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рассчитана на 105 часов в год, 3</w:t>
      </w:r>
      <w:r w:rsidRPr="001A2E87">
        <w:rPr>
          <w:rFonts w:ascii="Times New Roman" w:eastAsia="Calibri" w:hAnsi="Times New Roman" w:cs="Times New Roman"/>
          <w:sz w:val="24"/>
          <w:szCs w:val="24"/>
        </w:rPr>
        <w:t xml:space="preserve"> часа в неделю.</w:t>
      </w:r>
    </w:p>
    <w:p w:rsidR="006720A2" w:rsidRPr="006720A2" w:rsidRDefault="006720A2" w:rsidP="00672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0A2" w:rsidRPr="006720A2" w:rsidRDefault="006720A2" w:rsidP="006720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0A2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3218"/>
        <w:gridCol w:w="3108"/>
      </w:tblGrid>
      <w:tr w:rsidR="006720A2" w:rsidRPr="006720A2" w:rsidTr="00AB147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A2" w:rsidRPr="006720A2" w:rsidRDefault="006720A2" w:rsidP="00AB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A2" w:rsidRPr="006720A2" w:rsidRDefault="006720A2" w:rsidP="00AB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A2" w:rsidRPr="006720A2" w:rsidRDefault="006720A2" w:rsidP="00AB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6720A2" w:rsidRPr="006720A2" w:rsidTr="00AB147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A2" w:rsidRPr="006720A2" w:rsidRDefault="006720A2" w:rsidP="00AB1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Першкин</w:t>
            </w:r>
            <w:proofErr w:type="spellEnd"/>
            <w:r w:rsidRPr="006720A2">
              <w:rPr>
                <w:rFonts w:ascii="Times New Roman" w:hAnsi="Times New Roman" w:cs="Times New Roman"/>
                <w:sz w:val="24"/>
                <w:szCs w:val="24"/>
              </w:rPr>
              <w:t xml:space="preserve"> А.В. 9 класс учебник для </w:t>
            </w:r>
            <w:proofErr w:type="gramStart"/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672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.  Издательский дом «Дрофа», 2016.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A2" w:rsidRPr="006720A2" w:rsidRDefault="006720A2" w:rsidP="00AB14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0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Сборник задач и упражнений</w:t>
            </w:r>
            <w:proofErr w:type="gramStart"/>
            <w:r w:rsidRPr="006720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spellStart"/>
            <w:proofErr w:type="gramEnd"/>
            <w:r w:rsidRPr="006720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Лукашик</w:t>
            </w:r>
            <w:proofErr w:type="spellEnd"/>
            <w:r w:rsidRPr="006720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В.И., Иванова Е.В. М. «Просвящение»,2016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A2" w:rsidRPr="006720A2" w:rsidRDefault="006720A2" w:rsidP="00AB1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Ерина Т.М.</w:t>
            </w:r>
          </w:p>
          <w:p w:rsidR="006720A2" w:rsidRPr="006720A2" w:rsidRDefault="006720A2" w:rsidP="00AB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A2">
              <w:rPr>
                <w:rFonts w:ascii="Times New Roman" w:hAnsi="Times New Roman" w:cs="Times New Roman"/>
                <w:sz w:val="24"/>
                <w:szCs w:val="24"/>
              </w:rPr>
              <w:t xml:space="preserve"> Поу</w:t>
            </w:r>
            <w:r w:rsidR="00FE0154">
              <w:rPr>
                <w:rFonts w:ascii="Times New Roman" w:hAnsi="Times New Roman" w:cs="Times New Roman"/>
                <w:sz w:val="24"/>
                <w:szCs w:val="24"/>
              </w:rPr>
              <w:t>рочное планирование по физике. 9</w:t>
            </w:r>
            <w:r w:rsidRPr="006720A2">
              <w:rPr>
                <w:rFonts w:ascii="Times New Roman" w:hAnsi="Times New Roman" w:cs="Times New Roman"/>
                <w:sz w:val="24"/>
                <w:szCs w:val="24"/>
              </w:rPr>
              <w:t xml:space="preserve"> класс. — 4-е изд., </w:t>
            </w:r>
            <w:proofErr w:type="spellStart"/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720A2">
              <w:rPr>
                <w:rFonts w:ascii="Times New Roman" w:hAnsi="Times New Roman" w:cs="Times New Roman"/>
                <w:sz w:val="24"/>
                <w:szCs w:val="24"/>
              </w:rPr>
              <w:t>. и доп. — М.Экзамен, 2014. </w:t>
            </w:r>
          </w:p>
        </w:tc>
      </w:tr>
    </w:tbl>
    <w:p w:rsidR="00EB3DFD" w:rsidRDefault="00EB3DFD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F4" w:rsidRDefault="004A2AF4" w:rsidP="00BB510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  </w:t>
      </w:r>
    </w:p>
    <w:p w:rsidR="00BB5108" w:rsidRDefault="00BB5108" w:rsidP="00BB510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изучения учебного предмета.</w:t>
      </w:r>
    </w:p>
    <w:p w:rsidR="00BB5108" w:rsidRPr="005C5EEF" w:rsidRDefault="00BB5108" w:rsidP="00BB51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BB5108" w:rsidRPr="005C5EEF" w:rsidRDefault="00BB5108" w:rsidP="00BB510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Личностные:</w:t>
      </w:r>
    </w:p>
    <w:p w:rsidR="00BB5108" w:rsidRPr="005C5EEF" w:rsidRDefault="00BB5108" w:rsidP="00BB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BB5108" w:rsidRPr="005C5EEF" w:rsidRDefault="00BB5108" w:rsidP="006C42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отношение к учению; готовность и способность </w:t>
      </w:r>
      <w:proofErr w:type="gramStart"/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BB5108" w:rsidRPr="005C5EEF" w:rsidRDefault="00BB5108" w:rsidP="006C42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5108" w:rsidRPr="005C5EEF" w:rsidRDefault="00BB5108" w:rsidP="006C42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экологической культуры; понимание ценности здорового образа жизни;</w:t>
      </w:r>
    </w:p>
    <w:p w:rsidR="00BB5108" w:rsidRPr="005C5EEF" w:rsidRDefault="00BB5108" w:rsidP="006C42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эмоциональному восприятию физических задач, решений, рассуждений;</w:t>
      </w:r>
    </w:p>
    <w:p w:rsidR="00BB5108" w:rsidRPr="005C5EEF" w:rsidRDefault="00BB5108" w:rsidP="006C42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деятельности;</w:t>
      </w:r>
    </w:p>
    <w:p w:rsidR="00BB5108" w:rsidRPr="005C5EEF" w:rsidRDefault="00BB5108" w:rsidP="00BB51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учащихся могут быть </w:t>
      </w:r>
      <w:proofErr w:type="gramStart"/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сформированы</w:t>
      </w:r>
      <w:proofErr w:type="gramEnd"/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B5108" w:rsidRPr="005C5EEF" w:rsidRDefault="00BB5108" w:rsidP="006C42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BB5108" w:rsidRPr="005C5EEF" w:rsidRDefault="00BB5108" w:rsidP="006C42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B5108" w:rsidRPr="005C5EEF" w:rsidRDefault="00BB5108" w:rsidP="006C42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 задач.</w:t>
      </w:r>
    </w:p>
    <w:p w:rsidR="00BB5108" w:rsidRPr="005C5EEF" w:rsidRDefault="00BB5108" w:rsidP="00BB510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Метапредметные:</w:t>
      </w:r>
    </w:p>
    <w:p w:rsidR="00BB5108" w:rsidRPr="005C5EEF" w:rsidRDefault="00BB5108" w:rsidP="00BB51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BB5108" w:rsidRPr="005C5EEF" w:rsidRDefault="00BB5108" w:rsidP="00BB51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BB5108" w:rsidRPr="005C5EEF" w:rsidRDefault="00BB5108" w:rsidP="006C4247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удерживать учебную задачу;</w:t>
      </w:r>
    </w:p>
    <w:p w:rsidR="00BB5108" w:rsidRPr="005C5EEF" w:rsidRDefault="00BB5108" w:rsidP="006C4247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действия в </w:t>
      </w:r>
      <w:r w:rsidRPr="005C5EEF">
        <w:rPr>
          <w:rFonts w:ascii="Times New Roman" w:eastAsia="Times New Roman" w:hAnsi="Times New Roman" w:cs="Times New Roman"/>
          <w:color w:val="000000"/>
          <w:lang w:eastAsia="ru-RU"/>
        </w:rPr>
        <w:t>соответствии с поставленной задачей и услови</w:t>
      </w: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её реализации;</w:t>
      </w:r>
    </w:p>
    <w:p w:rsidR="00BB5108" w:rsidRPr="005C5EEF" w:rsidRDefault="00BB5108" w:rsidP="006C4247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B5108" w:rsidRPr="005C5EEF" w:rsidRDefault="00BB5108" w:rsidP="006C4247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уровень усвоения знаний, его временных характеристик;</w:t>
      </w:r>
    </w:p>
    <w:p w:rsidR="00BB5108" w:rsidRPr="005C5EEF" w:rsidRDefault="00BB5108" w:rsidP="006C4247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BB5108" w:rsidRPr="005C5EEF" w:rsidRDefault="00BB5108" w:rsidP="006C4247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BB5108" w:rsidRPr="005C5EEF" w:rsidRDefault="00BB5108" w:rsidP="006C4247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BB5108" w:rsidRPr="005C5EEF" w:rsidRDefault="00BB5108" w:rsidP="00BB5108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BB5108" w:rsidRPr="005C5EEF" w:rsidRDefault="00BB5108" w:rsidP="006C4247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BB5108" w:rsidRPr="005C5EEF" w:rsidRDefault="00BB5108" w:rsidP="006C4247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BB5108" w:rsidRPr="005C5EEF" w:rsidRDefault="00BB5108" w:rsidP="006C4247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BB5108" w:rsidRPr="005C5EEF" w:rsidRDefault="00BB5108" w:rsidP="006C4247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формулировать то, что усвоено, определять качество и уровень усвоения;</w:t>
      </w:r>
    </w:p>
    <w:p w:rsidR="00BB5108" w:rsidRPr="005C5EEF" w:rsidRDefault="00BB5108" w:rsidP="006C4247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BB5108" w:rsidRPr="00D40940" w:rsidRDefault="00BB5108" w:rsidP="00BB5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5108" w:rsidRPr="00D40940" w:rsidRDefault="00BB5108" w:rsidP="00BB5108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BB5108" w:rsidRPr="00D40940" w:rsidRDefault="00BB5108" w:rsidP="006C4247">
      <w:pPr>
        <w:numPr>
          <w:ilvl w:val="0"/>
          <w:numId w:val="6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физике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части общечеловеческой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о значимости физики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цивилизации и современного общества;</w:t>
      </w:r>
    </w:p>
    <w:p w:rsidR="00BB5108" w:rsidRPr="00D40940" w:rsidRDefault="00BB5108" w:rsidP="006C4247">
      <w:pPr>
        <w:numPr>
          <w:ilvl w:val="0"/>
          <w:numId w:val="6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представлений о физике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форме описания и методе познания действительности, создание условий для приобретения перво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опыта физического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моделирования;</w:t>
      </w:r>
    </w:p>
    <w:p w:rsidR="00BB5108" w:rsidRPr="00D40940" w:rsidRDefault="00BB5108" w:rsidP="006C4247">
      <w:pPr>
        <w:numPr>
          <w:ilvl w:val="0"/>
          <w:numId w:val="6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характерных для физики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являющихся основой познавательной культуры, значимой для различных сфер человеческой деятельности. </w:t>
      </w:r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2. 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 w:rsidRPr="00D40940">
        <w:rPr>
          <w:rFonts w:ascii="Times New Roman" w:hAnsi="Times New Roman" w:cs="Times New Roman"/>
          <w:sz w:val="24"/>
          <w:szCs w:val="24"/>
        </w:rPr>
        <w:lastRenderedPageBreak/>
        <w:t xml:space="preserve">учебных и познавательных задач. </w:t>
      </w:r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3.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4. Умение оценивать правильность выполнения учебной задачи, собственные возможности ее решения. </w:t>
      </w:r>
    </w:p>
    <w:p w:rsidR="00BB5108" w:rsidRPr="00A219FE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BB5108" w:rsidRPr="00D40940" w:rsidRDefault="00BB5108" w:rsidP="00BB5108">
      <w:pPr>
        <w:pStyle w:val="a4"/>
        <w:widowControl w:val="0"/>
        <w:tabs>
          <w:tab w:val="left" w:pos="-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0940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>3. Умение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– учебный, научно-популярный, информационный)</w:t>
      </w:r>
      <w:proofErr w:type="gramStart"/>
      <w:r w:rsidRPr="00D40940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Pr="00D40940">
        <w:rPr>
          <w:rFonts w:ascii="Times New Roman" w:hAnsi="Times New Roman" w:cs="Times New Roman"/>
          <w:sz w:val="24"/>
          <w:szCs w:val="24"/>
        </w:rPr>
        <w:t>ритически оценивать содержание и форму текста.</w:t>
      </w:r>
    </w:p>
    <w:p w:rsidR="00BB5108" w:rsidRPr="00A219FE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4. Развитие мотивации к овладению культурой активного использования словарей и других поисковых систем. </w:t>
      </w:r>
    </w:p>
    <w:p w:rsidR="00BB5108" w:rsidRPr="00D40940" w:rsidRDefault="00BB5108" w:rsidP="006C424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B5108" w:rsidRPr="00D40940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BB5108" w:rsidRPr="005C5EEF" w:rsidRDefault="00BB5108" w:rsidP="006C4247">
      <w:pPr>
        <w:pStyle w:val="a4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3. Формирование и развитие компетентности в области использования информационно-коммуникационных технологий. </w:t>
      </w:r>
    </w:p>
    <w:p w:rsidR="00BB5108" w:rsidRPr="005C5EEF" w:rsidRDefault="00BB5108" w:rsidP="00BB510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Предметные:</w:t>
      </w:r>
    </w:p>
    <w:p w:rsidR="00BB5108" w:rsidRPr="005C5EEF" w:rsidRDefault="00BB5108" w:rsidP="00BB51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BB5108" w:rsidRPr="005C5EEF" w:rsidRDefault="00BB5108" w:rsidP="006C4247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BB5108" w:rsidRPr="005C5EEF" w:rsidRDefault="00BB5108" w:rsidP="006C4247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общ</w:t>
      </w:r>
      <w:r w:rsidRPr="005C5EEF">
        <w:rPr>
          <w:rFonts w:ascii="Times New Roman" w:eastAsia="Times New Roman" w:hAnsi="Times New Roman" w:cs="Times New Roman"/>
          <w:color w:val="000000"/>
          <w:lang w:eastAsia="ru-RU"/>
        </w:rPr>
        <w:t>ие приёмы решения задач;</w:t>
      </w:r>
    </w:p>
    <w:p w:rsidR="00BB5108" w:rsidRPr="005C5EEF" w:rsidRDefault="00BB5108" w:rsidP="006C4247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и пользоваться инструкциями и освоенными закономерностями;</w:t>
      </w:r>
    </w:p>
    <w:p w:rsidR="00BB5108" w:rsidRPr="005C5EEF" w:rsidRDefault="00BB5108" w:rsidP="006C4247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смысловое чтение;</w:t>
      </w:r>
    </w:p>
    <w:p w:rsidR="00BB5108" w:rsidRPr="005C5EEF" w:rsidRDefault="00BB5108" w:rsidP="006C4247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BB5108" w:rsidRPr="005C5EEF" w:rsidRDefault="00BB5108" w:rsidP="006C4247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и вероятностной информации.</w:t>
      </w:r>
    </w:p>
    <w:p w:rsidR="00BB5108" w:rsidRPr="005C5EEF" w:rsidRDefault="00BB5108" w:rsidP="006C4247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BB5108" w:rsidRPr="008F7292" w:rsidRDefault="00BB5108" w:rsidP="00BB5108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Содержание программы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597DF0" w:rsidRPr="00F74189" w:rsidRDefault="00597DF0" w:rsidP="00597D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взаимодействия и движения тел </w:t>
      </w: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(23 ч+7ч)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движение: </w:t>
      </w: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мгновеннаяскорость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ускорение, перемещение. Графики </w:t>
      </w: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зависимостикинематических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 от времени при равномерном и равноускоренном движении. Относительность механического движения. Геоцентрическая и гелиоцентрическая системы мира. Инерциальная система отсчета. Законы Ньютона. Свободное падение. Невесомость. Закон всемирного тяготения. [Искусственные спутники Земли.]1 Импульс. Закон сохранения импульса. Реактивное движение.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ЛАБОРАТОРНЫЕ РАБОТЫ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Исследование равноускоренного движения без </w:t>
      </w: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скорости.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Измерение ускорения свободного падения.</w:t>
      </w:r>
    </w:p>
    <w:p w:rsidR="00597DF0" w:rsidRPr="00F74189" w:rsidRDefault="00597DF0" w:rsidP="00597D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колебания и волны. Звук </w:t>
      </w: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 ч+4ч)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[Гармонические колебания]. 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громкость звука. Эхо. Звуковой резонанс. [Интерференция звука].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ЛАБОРАТОРНАЯ РАБОТА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Исследование зависимости периода и частоты свободных колебаний маятника от длины его нити.</w:t>
      </w:r>
    </w:p>
    <w:p w:rsidR="00597DF0" w:rsidRPr="00F74189" w:rsidRDefault="00597DF0" w:rsidP="00597D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Электромагнитное поле </w:t>
      </w: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 ч+4ч)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</w:t>
      </w: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</w:t>
      </w:r>
      <w:proofErr w:type="gram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пыты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Фарадея. Электромагнитная индукция. Направление индукционного тока. Правило Ленца. Явление самоиндукции. Переменный ток. Генератор переменного тока. Преобразования энергии в </w:t>
      </w: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электрогенераторах</w:t>
      </w:r>
      <w:proofErr w:type="gram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рансформатор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 Колебательный контур. Получение электромагнитных колебаний. Принципы радиосвязи и телевидения. [Интерференция света.]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природа света. Преломление света. Показатель преломления. Дисперсия света. Цвета тел. [Спектрограф и спектроскоп.] Типы оптических спектров. [Спектральный анализ.] Поглощение и испускание света атомами. Происхождение линейчатых спектров.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ЛАБОРАТОРНЫЕ РАБОТЫ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явления электромагнитной индукции.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Наблюдение сплошного и линейчатых спектров </w:t>
      </w: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скания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DF0" w:rsidRPr="00F74189" w:rsidRDefault="00597DF0" w:rsidP="00597D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атома и атомного ядра </w:t>
      </w: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 ч+8ч)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Радиоактивность как свидетельство сложного строения атомов. Альф</w:t>
      </w:r>
      <w:proofErr w:type="gram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бета- и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Экспериментальные методы исследования частиц. Протонно-нейтронная модель ядра. Физический смысл зарядового и массового чисел. Изотопы. Правила смещения для альф</w:t>
      </w:r>
      <w:proofErr w:type="gram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бета-распада при ядерных реакциях. Энергия связи частиц в ядре. Деление ядер урана. Цепная реакция. Ядерная энергетика. Экологические проблемы работы атомных электростанций. </w:t>
      </w: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Дозимет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Период полураспада. Закон радиоактивного </w:t>
      </w:r>
      <w:proofErr w:type="spell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</w:t>
      </w:r>
      <w:proofErr w:type="gramStart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лияние</w:t>
      </w:r>
      <w:proofErr w:type="spellEnd"/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радиоактивных излучений на живые организмы. Термоядерная реакция. Источники энергии Солнца и звезд.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ЛАБОРАТОРНЫЕ РАБОТЫ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Измерение естественного радиационного фона дозиметром.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Изучение деления ядра атома урана по фотографии треков.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Оценка периода полураспада находящихся в воздухе продуктов распада газа радона.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Изучение треков заряженных частиц по готовым фотографиям.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Строение и эволюция Вселенной </w:t>
      </w: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ч+2ч)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</w:t>
      </w:r>
    </w:p>
    <w:p w:rsidR="00597DF0" w:rsidRPr="00F74189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Вселенной.</w:t>
      </w:r>
    </w:p>
    <w:p w:rsidR="00597DF0" w:rsidRDefault="00597DF0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Резервное время </w:t>
      </w:r>
      <w:r w:rsidRPr="00F7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ч+7ч)</w:t>
      </w:r>
    </w:p>
    <w:p w:rsidR="00AB147A" w:rsidRDefault="00AB147A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47A" w:rsidRDefault="00AB147A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47A" w:rsidRDefault="00AB147A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47A" w:rsidRPr="00F74189" w:rsidRDefault="00AB147A" w:rsidP="005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23" w:rsidRDefault="006A7B23" w:rsidP="00597D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</w:p>
    <w:p w:rsidR="00597DF0" w:rsidRPr="00F74189" w:rsidRDefault="00597DF0" w:rsidP="00597D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-ТЕМАТИЧЕСКОЕ ПЛАНИРОВАНИЕ 9 </w:t>
      </w:r>
      <w:r w:rsidRPr="00F7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КЛАСС</w:t>
      </w:r>
    </w:p>
    <w:tbl>
      <w:tblPr>
        <w:tblStyle w:val="ab"/>
        <w:tblW w:w="9261" w:type="dxa"/>
        <w:tblLook w:val="04A0" w:firstRow="1" w:lastRow="0" w:firstColumn="1" w:lastColumn="0" w:noHBand="0" w:noVBand="1"/>
      </w:tblPr>
      <w:tblGrid>
        <w:gridCol w:w="856"/>
        <w:gridCol w:w="5184"/>
        <w:gridCol w:w="1110"/>
        <w:gridCol w:w="60"/>
        <w:gridCol w:w="15"/>
        <w:gridCol w:w="15"/>
        <w:gridCol w:w="236"/>
        <w:gridCol w:w="1549"/>
        <w:gridCol w:w="14"/>
        <w:gridCol w:w="191"/>
        <w:gridCol w:w="31"/>
      </w:tblGrid>
      <w:tr w:rsidR="00597235" w:rsidRPr="00F74189" w:rsidTr="00597235">
        <w:trPr>
          <w:gridAfter w:val="2"/>
          <w:wAfter w:w="222" w:type="dxa"/>
          <w:trHeight w:val="602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ind w:left="14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Тема урока</w:t>
            </w:r>
          </w:p>
        </w:tc>
        <w:tc>
          <w:tcPr>
            <w:tcW w:w="1110" w:type="dxa"/>
          </w:tcPr>
          <w:p w:rsidR="00597235" w:rsidRDefault="001F3131" w:rsidP="0059723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F3131" w:rsidRPr="00F74189" w:rsidRDefault="001F3131" w:rsidP="0059723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89" w:type="dxa"/>
            <w:gridSpan w:val="6"/>
          </w:tcPr>
          <w:p w:rsidR="00597235" w:rsidRPr="00F74189" w:rsidRDefault="00597235" w:rsidP="00597235">
            <w:pPr>
              <w:spacing w:line="20" w:lineRule="atLeast"/>
              <w:ind w:left="2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4677A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4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Законы взаимодействия и движения тел (30 часов)</w:t>
            </w:r>
          </w:p>
        </w:tc>
        <w:tc>
          <w:tcPr>
            <w:tcW w:w="1110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89" w:type="dxa"/>
            <w:gridSpan w:val="6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точка. Система отсчета.</w:t>
            </w:r>
          </w:p>
        </w:tc>
        <w:tc>
          <w:tcPr>
            <w:tcW w:w="1110" w:type="dxa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6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</w:t>
            </w:r>
          </w:p>
        </w:tc>
        <w:tc>
          <w:tcPr>
            <w:tcW w:w="1110" w:type="dxa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6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1110" w:type="dxa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6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1110" w:type="dxa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gridSpan w:val="6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прямолинейного равноускоренного движения.</w:t>
            </w:r>
          </w:p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скорости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вводной контрольной работе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контрольная работа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при прямолинейном равноускоренном движении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1170" w:type="dxa"/>
            <w:gridSpan w:val="2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597235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</w:t>
            </w:r>
            <w:r w:rsidRPr="00F74189">
              <w:rPr>
                <w:rFonts w:ascii="SchoolBookSanPin" w:eastAsia="Times New Roman" w:hAnsi="SchoolBookSanPi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равноускоренного движения без начальной скорости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Относительность движения. Самостоятельная работа №1 «Перемещение»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Инерциальные системы отсчета. Первый закон Ньютона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закон Ньютона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 тел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тела, брошенного вертикально вверх. Невесомость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</w:t>
            </w:r>
            <w:r w:rsidRPr="00F741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74189">
              <w:rPr>
                <w:rFonts w:ascii="SchoolBookSanPin" w:eastAsia="Times New Roman" w:hAnsi="SchoolBookSanPi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ускорения свободного падения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 тела. Закон сохранения импульса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движение. Ракеты.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закона сохранения механической энергии.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Подготовка к </w:t>
            </w:r>
            <w:proofErr w:type="gramStart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.р.№1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взаимодействия и движения тел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4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Механические колебания и </w:t>
            </w:r>
            <w:proofErr w:type="spellStart"/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волны</w:t>
            </w:r>
            <w:proofErr w:type="gramStart"/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.З</w:t>
            </w:r>
            <w:proofErr w:type="gramEnd"/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вук</w:t>
            </w:r>
            <w:proofErr w:type="spellEnd"/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.(16 часов)</w:t>
            </w:r>
          </w:p>
        </w:tc>
        <w:tc>
          <w:tcPr>
            <w:tcW w:w="1170" w:type="dxa"/>
            <w:gridSpan w:val="2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Колебательное движение. Свободные колебания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802777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Величины, характеризующие колебательное движение</w:t>
            </w:r>
            <w:proofErr w:type="gramStart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1"/>
          <w:wAfter w:w="31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3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периода и частоты свободных колебаний маятника от длины его нити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Затухающие колебания. Вынужденные колебания.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Резонанс.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колебаний в среде. Волны.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волны. Скорость распространения волн.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Высота, [тембр] и громкость звука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Подготовка к контрольной работе №2.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 и волны. Звук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  <w:r w:rsidR="000770D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. Промежуточная </w:t>
            </w:r>
            <w:r w:rsidR="000770D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аттестация.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проектов по теме «Механические колебания и </w:t>
            </w:r>
            <w:proofErr w:type="spellStart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</w:t>
            </w:r>
            <w:proofErr w:type="gramStart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</w:t>
            </w:r>
            <w:proofErr w:type="spellEnd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4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Электромагнитное поле (20 часов)</w:t>
            </w:r>
          </w:p>
        </w:tc>
        <w:tc>
          <w:tcPr>
            <w:tcW w:w="1200" w:type="dxa"/>
            <w:gridSpan w:val="4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тока и направление линий его магнитного поля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Индукция магнитного поля. Магнитный поток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электромагнитной индукции.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4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передача переменного электрического тока. Транс-</w:t>
            </w:r>
          </w:p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форматор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Электромагнитное поле. Электромагнитные волны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Колебательный контур. Получение электромагнитных колебаний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радиосвязи и телевидения.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природа света.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Преломление света. Физический смысл показателя преломления. Дисперсия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тел.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оптических спектров.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5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сплошного и линейчатых спектров испускания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200" w:type="dxa"/>
            <w:gridSpan w:val="4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3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Поглощение и испускание света атомами.</w:t>
            </w:r>
          </w:p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линейчатых спектров.</w:t>
            </w:r>
          </w:p>
        </w:tc>
        <w:tc>
          <w:tcPr>
            <w:tcW w:w="1185" w:type="dxa"/>
            <w:gridSpan w:val="3"/>
          </w:tcPr>
          <w:p w:rsidR="00597235" w:rsidRPr="00F74189" w:rsidRDefault="001F3131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4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№2 « Электромагнитное поле»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gridSpan w:val="4"/>
            <w:tcBorders>
              <w:right w:val="nil"/>
            </w:tcBorders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4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Строение атома и атомного ядра (20 часов)</w:t>
            </w:r>
          </w:p>
        </w:tc>
        <w:tc>
          <w:tcPr>
            <w:tcW w:w="1170" w:type="dxa"/>
            <w:gridSpan w:val="2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Радиоактивность. Модели атомов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методы исследования частиц.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6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естественного радиационного фона дозиметром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протона и нейтрона.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атомного ядра. Ядерные силы.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связи. Дефект масс.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ядер урана. Цепная реакция.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</w:t>
            </w:r>
            <w:proofErr w:type="spellStart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 № 7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деления ядра атома урана по фотографии треков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Термоядерная реакция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Подготовка к </w:t>
            </w:r>
            <w:proofErr w:type="gramStart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№3.</w:t>
            </w: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«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атомного ядра»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атомного ядра»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8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периода полураспада находящихся в воздухе продуктов распада газа радона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9 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≪</w:t>
            </w: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заряженных частиц по готовым фото-</w:t>
            </w:r>
          </w:p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графиям</w:t>
            </w:r>
            <w:r w:rsidRPr="00F74189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Подготовка к итоговой контрольной работе.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физике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4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Строение Вселенной (7 часов)</w:t>
            </w:r>
          </w:p>
        </w:tc>
        <w:tc>
          <w:tcPr>
            <w:tcW w:w="1170" w:type="dxa"/>
            <w:gridSpan w:val="2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строение и происхождение Солнечной системы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планеты Солнечной системы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тела Солнечной системы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излучение и эволюция Солнца и звезд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 по теме «Строение Вселенной»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Резерв-9ч</w:t>
            </w:r>
          </w:p>
        </w:tc>
        <w:tc>
          <w:tcPr>
            <w:tcW w:w="1170" w:type="dxa"/>
            <w:gridSpan w:val="2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7235" w:rsidRPr="00F74189" w:rsidTr="00597235">
        <w:trPr>
          <w:gridAfter w:val="2"/>
          <w:wAfter w:w="222" w:type="dxa"/>
          <w:trHeight w:val="20"/>
        </w:trPr>
        <w:tc>
          <w:tcPr>
            <w:tcW w:w="856" w:type="dxa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F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hideMark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70" w:type="dxa"/>
            <w:gridSpan w:val="2"/>
          </w:tcPr>
          <w:p w:rsidR="00597235" w:rsidRPr="00F74189" w:rsidRDefault="001F3131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9" w:type="dxa"/>
            <w:gridSpan w:val="5"/>
          </w:tcPr>
          <w:p w:rsidR="00597235" w:rsidRPr="00F74189" w:rsidRDefault="00597235" w:rsidP="00AB147A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65A7" w:rsidRDefault="00D965A7" w:rsidP="00597DF0"/>
    <w:sectPr w:rsidR="00D965A7" w:rsidSect="00513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E10E33"/>
    <w:multiLevelType w:val="multilevel"/>
    <w:tmpl w:val="E850D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941C3"/>
    <w:multiLevelType w:val="multilevel"/>
    <w:tmpl w:val="1B32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C17E6"/>
    <w:multiLevelType w:val="multilevel"/>
    <w:tmpl w:val="F6D6F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52D85"/>
    <w:multiLevelType w:val="multilevel"/>
    <w:tmpl w:val="2B8C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20F55"/>
    <w:multiLevelType w:val="multilevel"/>
    <w:tmpl w:val="BA20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A275D"/>
    <w:multiLevelType w:val="multilevel"/>
    <w:tmpl w:val="9484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63F86"/>
    <w:multiLevelType w:val="multilevel"/>
    <w:tmpl w:val="7A2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656D2"/>
    <w:multiLevelType w:val="multilevel"/>
    <w:tmpl w:val="18FA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540E9"/>
    <w:multiLevelType w:val="multilevel"/>
    <w:tmpl w:val="C394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74756"/>
    <w:multiLevelType w:val="multilevel"/>
    <w:tmpl w:val="043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2381D"/>
    <w:multiLevelType w:val="multilevel"/>
    <w:tmpl w:val="B986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525CF"/>
    <w:multiLevelType w:val="multilevel"/>
    <w:tmpl w:val="60867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D7949"/>
    <w:multiLevelType w:val="multilevel"/>
    <w:tmpl w:val="59DE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35237"/>
    <w:multiLevelType w:val="multilevel"/>
    <w:tmpl w:val="95AC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405F1"/>
    <w:multiLevelType w:val="multilevel"/>
    <w:tmpl w:val="3CE0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43455"/>
    <w:multiLevelType w:val="multilevel"/>
    <w:tmpl w:val="B1D8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D5560"/>
    <w:multiLevelType w:val="multilevel"/>
    <w:tmpl w:val="153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CD2AFB"/>
    <w:multiLevelType w:val="multilevel"/>
    <w:tmpl w:val="43D6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18"/>
  </w:num>
  <w:num w:numId="11">
    <w:abstractNumId w:val="11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9"/>
  </w:num>
  <w:num w:numId="17">
    <w:abstractNumId w:val="14"/>
  </w:num>
  <w:num w:numId="18">
    <w:abstractNumId w:val="15"/>
  </w:num>
  <w:num w:numId="19">
    <w:abstractNumId w:val="4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0A2"/>
    <w:rsid w:val="000770D5"/>
    <w:rsid w:val="000B5900"/>
    <w:rsid w:val="00165093"/>
    <w:rsid w:val="001A2E87"/>
    <w:rsid w:val="001F3131"/>
    <w:rsid w:val="0030112E"/>
    <w:rsid w:val="00337AC5"/>
    <w:rsid w:val="00345FAF"/>
    <w:rsid w:val="00376B67"/>
    <w:rsid w:val="003B5011"/>
    <w:rsid w:val="00402B98"/>
    <w:rsid w:val="0041629F"/>
    <w:rsid w:val="00455278"/>
    <w:rsid w:val="004677A4"/>
    <w:rsid w:val="004A2AF4"/>
    <w:rsid w:val="00513D9C"/>
    <w:rsid w:val="00521324"/>
    <w:rsid w:val="00597235"/>
    <w:rsid w:val="00597DF0"/>
    <w:rsid w:val="006720A2"/>
    <w:rsid w:val="006A7B23"/>
    <w:rsid w:val="006C4247"/>
    <w:rsid w:val="00802777"/>
    <w:rsid w:val="00A7449C"/>
    <w:rsid w:val="00AA152F"/>
    <w:rsid w:val="00AB147A"/>
    <w:rsid w:val="00B24544"/>
    <w:rsid w:val="00B70057"/>
    <w:rsid w:val="00BB5108"/>
    <w:rsid w:val="00C075C6"/>
    <w:rsid w:val="00CE3FF5"/>
    <w:rsid w:val="00D20346"/>
    <w:rsid w:val="00D965A7"/>
    <w:rsid w:val="00E05F76"/>
    <w:rsid w:val="00EA2239"/>
    <w:rsid w:val="00EB3DFD"/>
    <w:rsid w:val="00FE0154"/>
    <w:rsid w:val="00FF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6720A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720A2"/>
  </w:style>
  <w:style w:type="character" w:styleId="a6">
    <w:name w:val="Strong"/>
    <w:basedOn w:val="a0"/>
    <w:uiPriority w:val="22"/>
    <w:qFormat/>
    <w:rsid w:val="006720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29F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AB1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B1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AB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qFormat/>
    <w:rsid w:val="00345F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345FAF"/>
    <w:rPr>
      <w:rFonts w:ascii="Calibri" w:eastAsia="Calibri" w:hAnsi="Calibri" w:cs="Times New Roman"/>
    </w:rPr>
  </w:style>
  <w:style w:type="paragraph" w:customStyle="1" w:styleId="ae">
    <w:name w:val="Стиль"/>
    <w:rsid w:val="00345F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rsid w:val="004A2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6720A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720A2"/>
  </w:style>
  <w:style w:type="character" w:styleId="a6">
    <w:name w:val="Strong"/>
    <w:basedOn w:val="a0"/>
    <w:uiPriority w:val="22"/>
    <w:qFormat/>
    <w:rsid w:val="006720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29F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AB1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B1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AB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951F-B178-4408-B4A3-8384D2F7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Галя</cp:lastModifiedBy>
  <cp:revision>26</cp:revision>
  <cp:lastPrinted>2023-09-20T07:21:00Z</cp:lastPrinted>
  <dcterms:created xsi:type="dcterms:W3CDTF">2018-09-27T10:17:00Z</dcterms:created>
  <dcterms:modified xsi:type="dcterms:W3CDTF">2023-10-05T17:18:00Z</dcterms:modified>
</cp:coreProperties>
</file>